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关于举办第</w:t>
      </w:r>
      <w:r>
        <w:rPr>
          <w:rFonts w:hint="eastAsia" w:ascii="黑体" w:hAnsi="黑体" w:eastAsia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/>
          <w:sz w:val="36"/>
          <w:szCs w:val="36"/>
        </w:rPr>
        <w:t>届（202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）第三方评估高层论坛的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通知</w:t>
      </w:r>
    </w:p>
    <w:p>
      <w:pPr>
        <w:spacing w:line="5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轮）</w:t>
      </w:r>
    </w:p>
    <w:p>
      <w:pPr>
        <w:spacing w:line="380" w:lineRule="exact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70" w:lineRule="exact"/>
        <w:textAlignment w:val="baseline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相关单位与个人：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95" w:beforeLines="30" w:after="95" w:afterLines="30" w:line="37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目前，</w:t>
      </w:r>
      <w:r>
        <w:rPr>
          <w:rFonts w:hint="eastAsia" w:asciiTheme="minorEastAsia" w:hAnsiTheme="minorEastAsia" w:eastAsiaTheme="minorEastAsia"/>
          <w:sz w:val="24"/>
          <w:szCs w:val="24"/>
        </w:rPr>
        <w:t>第三方评估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/>
          <w:sz w:val="24"/>
          <w:szCs w:val="24"/>
        </w:rPr>
        <w:t>成为政府工作流程创新的常态化机制，各级政府对一些事项越来越多地委托第三方机构开展评估。但目前，许多地方对第三方评估理论方法掌握不够，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评估过程中</w:t>
      </w:r>
      <w:r>
        <w:rPr>
          <w:rFonts w:hint="eastAsia" w:asciiTheme="minorEastAsia" w:hAnsiTheme="minorEastAsia" w:eastAsiaTheme="minorEastAsia"/>
          <w:sz w:val="24"/>
          <w:szCs w:val="24"/>
        </w:rPr>
        <w:t>不规范问题突出。国外智库机构70%的工作量是开展第三方评估，但我国许多智库机构还未开展第三方评估业务。为推进第三方评估理论方法的深化研究与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第三方评估方法的广泛</w:t>
      </w:r>
      <w:r>
        <w:rPr>
          <w:rFonts w:hint="eastAsia" w:asciiTheme="minorEastAsia" w:hAnsiTheme="minorEastAsia" w:eastAsiaTheme="minorEastAsia"/>
          <w:sz w:val="24"/>
          <w:szCs w:val="24"/>
        </w:rPr>
        <w:t>推广应用，相互交流研究成果和工作经验，中国现场统计研究会综合评价研究分会、山东省应用统计学会等单位联合定于今年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-2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日在威海举办“第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/>
          <w:sz w:val="24"/>
          <w:szCs w:val="24"/>
        </w:rPr>
        <w:t>届（202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）第三方评估高层论坛”，同时举办“第三方评估理论方法与实践操作培训”。现将有关事宜通知如下：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95" w:beforeLines="30" w:after="95" w:afterLines="30" w:line="370" w:lineRule="exact"/>
        <w:ind w:firstLine="560" w:firstLineChars="200"/>
        <w:textAlignment w:val="baseline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一、会议日程和主要内容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95" w:beforeLines="30" w:after="95" w:afterLines="30" w:line="370" w:lineRule="exact"/>
        <w:ind w:firstLine="468"/>
        <w:textAlignment w:val="baseline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/>
          <w:sz w:val="24"/>
          <w:szCs w:val="24"/>
        </w:rPr>
        <w:t>月2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0</w:t>
      </w:r>
      <w:r>
        <w:rPr>
          <w:rFonts w:hint="eastAsia" w:ascii="黑体" w:hAnsi="黑体" w:eastAsia="黑体"/>
          <w:sz w:val="24"/>
          <w:szCs w:val="24"/>
        </w:rPr>
        <w:t>日，开展第三方评估理论方法与实践操作培训。</w:t>
      </w:r>
      <w:r>
        <w:rPr>
          <w:rFonts w:hint="eastAsia" w:asciiTheme="minorEastAsia" w:hAnsiTheme="minorEastAsia" w:eastAsiaTheme="minorEastAsia"/>
          <w:sz w:val="24"/>
          <w:szCs w:val="24"/>
        </w:rPr>
        <w:t>拟邀请邀请国务院发展研究中心、科技部评估中心、中国科协、中国科学院、中国社科院、中国军事科学院、复旦大学、济南大学、上海国信社会服务评估院等单位专家讲解如下内容：（1）第三方评估相关理论；（2）第三方评估常用方法；（3）第三方评估工作机制和组织机构；（4）第三方评估一般流程；（5）第三方评估方案制订和组织实施；（6）第三方评估报告写作；（7）第三方评估保障制度；（8）第三方评估项目获取；（9）第三方评估成果应用及后续开发（拉长评估链条，借评估开展智库建设）；（10）如何撰写标书通过政府购买服务招投标获得第三方评估项目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就近期评估工作量很大的第三方评估项目，如老年人能力评估、养老机构星级评定、基本公共卫生服务项目绩效评价等进行第三方评估实践操作培训。培训时提供相关案例的评估方案、评估报告。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95" w:beforeLines="30" w:after="95" w:afterLines="30" w:line="370" w:lineRule="exact"/>
        <w:ind w:firstLine="468"/>
        <w:textAlignment w:val="baseline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月2</w:t>
      </w:r>
      <w:r>
        <w:rPr>
          <w:rFonts w:hint="eastAsia" w:ascii="黑体" w:hAnsi="黑体" w:eastAsia="黑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日，开展论坛和研讨交流。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采取大会主题报告、专题报告、经验交流和自由讨论相结合的形式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进行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，围绕为何评估、评估什么、谁要评估、谁来评估、如何评估、评估结果的应用、如何拉长评估链条、如何与智库建设相结合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、第三方评估的典型案例分析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等开展研讨，主要议题有：（1）第三方评估相关理论和评估方法研究进展；（2）国内外第三方评估的经验和典型做法；（3）目前第三方评估存在的主要问题及解决措施；（4）如何推进第三方评估的规范化；（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）第三方评估如何与智库建设相结合；（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各地第三方评估的好经验、好做法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；（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）第三方评估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典型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案例分析。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为提高研讨效果，请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与会人员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会前提供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相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关论文和经验材料，题目自拟，请于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日前发至E-mail:sdsyytjxh@163.com。提交论文和经验材料者优先安排专题报告和经验交流，论坛结束后，结集出版或推荐在适宜的杂志上发表</w:t>
      </w:r>
      <w:r>
        <w:rPr>
          <w:rFonts w:hint="eastAsia" w:asciiTheme="minorEastAsia" w:hAnsiTheme="minorEastAsia" w:eastAsiaTheme="minorEastAsia"/>
          <w:sz w:val="24"/>
          <w:szCs w:val="24"/>
        </w:rPr>
        <w:t>。当然，不提交论文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和经验材料</w:t>
      </w:r>
      <w:r>
        <w:rPr>
          <w:rFonts w:hint="eastAsia" w:asciiTheme="minorEastAsia" w:hAnsiTheme="minorEastAsia" w:eastAsiaTheme="minorEastAsia"/>
          <w:sz w:val="24"/>
          <w:szCs w:val="24"/>
        </w:rPr>
        <w:t>也可以参会。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95" w:beforeLines="30" w:after="95" w:afterLines="30" w:line="370" w:lineRule="exact"/>
        <w:ind w:firstLine="468"/>
        <w:textAlignment w:val="baseline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8月22日，讨论第三方评估协作事宜。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讨论并酝酿成立“第三方评估协会”或“科技评估学会”及建立“第三方评估协作网”相关事宜；讨论将“中国现场统计研究会综合评价研究分会”改名为“中国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现场统计研究会第三方评估专业委员会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”的可行性及新成立的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委员会委员人选。会议期间“山东省应用统计学会第三方评估专业委员会”进行改选。参会人员可优先参加上述社团组织，推荐理事、委员的，要提前填写基本情况登记表（另外向会务组索要）。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95" w:beforeLines="30" w:after="95" w:afterLines="30" w:line="370" w:lineRule="exact"/>
        <w:ind w:firstLine="560" w:firstLineChars="200"/>
        <w:textAlignment w:val="baseline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二、具体</w:t>
      </w:r>
      <w:r>
        <w:rPr>
          <w:rFonts w:ascii="黑体" w:hAnsi="黑体" w:eastAsia="黑体"/>
          <w:bCs/>
          <w:kern w:val="0"/>
          <w:sz w:val="28"/>
          <w:szCs w:val="28"/>
        </w:rPr>
        <w:t>时间和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会议</w:t>
      </w:r>
      <w:r>
        <w:rPr>
          <w:rFonts w:ascii="黑体" w:hAnsi="黑体" w:eastAsia="黑体"/>
          <w:bCs/>
          <w:kern w:val="0"/>
          <w:sz w:val="28"/>
          <w:szCs w:val="28"/>
        </w:rPr>
        <w:t>地点</w:t>
      </w:r>
    </w:p>
    <w:p>
      <w:pPr>
        <w:pStyle w:val="16"/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="95" w:beforeLines="30" w:after="95" w:afterLines="30" w:line="370" w:lineRule="exac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日下午报到，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-2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日开会，2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日早餐后离会。</w:t>
      </w:r>
      <w:r>
        <w:rPr>
          <w:rFonts w:cs="宋体" w:asciiTheme="minorEastAsia" w:hAnsiTheme="minorEastAsia"/>
          <w:color w:val="000000"/>
          <w:kern w:val="0"/>
          <w:sz w:val="24"/>
        </w:rPr>
        <w:t>报到和开会地点在威海乳山滨海新区的申</w:t>
      </w:r>
      <w:r>
        <w:rPr>
          <w:rFonts w:cs="宋体" w:asciiTheme="minorEastAsia" w:hAnsiTheme="minorEastAsia"/>
          <w:bCs/>
          <w:sz w:val="24"/>
        </w:rPr>
        <w:t>菱大厦</w:t>
      </w:r>
      <w:r>
        <w:rPr>
          <w:rFonts w:cs="宋体" w:asciiTheme="minorEastAsia" w:hAnsiTheme="minorEastAsia"/>
          <w:color w:val="000000"/>
          <w:kern w:val="0"/>
          <w:sz w:val="24"/>
        </w:rPr>
        <w:t>，地址：</w:t>
      </w:r>
      <w:r>
        <w:rPr>
          <w:rFonts w:asciiTheme="minorEastAsia" w:hAnsiTheme="minorEastAsia"/>
          <w:sz w:val="24"/>
        </w:rPr>
        <w:t>威海乳山银滩旅游度假区淮河路金长城88号，</w:t>
      </w:r>
      <w:r>
        <w:rPr>
          <w:rFonts w:cs="宋体" w:asciiTheme="minorEastAsia" w:hAnsiTheme="minorEastAsia"/>
          <w:color w:val="000000"/>
          <w:kern w:val="0"/>
          <w:sz w:val="24"/>
        </w:rPr>
        <w:t>电话：</w:t>
      </w:r>
      <w:r>
        <w:rPr>
          <w:rFonts w:cs="Arial" w:asciiTheme="minorEastAsia" w:hAnsiTheme="minorEastAsia"/>
          <w:color w:val="333333"/>
          <w:kern w:val="0"/>
          <w:sz w:val="24"/>
        </w:rPr>
        <w:t>0631-6726999。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本次会议一般不接站（大会报告专家除外）。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before="95" w:beforeLines="30" w:after="95" w:afterLines="30" w:line="370" w:lineRule="exact"/>
        <w:ind w:firstLine="560" w:firstLineChars="20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三</w:t>
      </w:r>
      <w:r>
        <w:rPr>
          <w:rFonts w:ascii="黑体" w:hAnsi="黑体" w:eastAsia="黑体"/>
          <w:bCs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会议费用及相关事宜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95" w:beforeLines="30" w:after="95" w:afterLines="30" w:line="37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会议期间，食宿统一安排，费用自理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（标准间房费连同餐费每人每天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179-229元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）；</w:t>
      </w:r>
      <w:r>
        <w:rPr>
          <w:rFonts w:hint="eastAsia" w:asciiTheme="minorEastAsia" w:hAnsiTheme="minorEastAsia" w:eastAsiaTheme="minorEastAsia"/>
          <w:sz w:val="24"/>
          <w:szCs w:val="24"/>
        </w:rPr>
        <w:t>向每位与会人员收取资料费200元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参加论坛收取会务费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00元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</w:rPr>
        <w:t>提交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论文和经验</w:t>
      </w:r>
      <w:r>
        <w:rPr>
          <w:rFonts w:hint="eastAsia" w:asciiTheme="minorEastAsia" w:hAnsiTheme="minorEastAsia" w:eastAsiaTheme="minorEastAsia"/>
          <w:sz w:val="24"/>
          <w:szCs w:val="24"/>
        </w:rPr>
        <w:t>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/>
          <w:sz w:val="24"/>
          <w:szCs w:val="24"/>
        </w:rPr>
        <w:t>安排专题报告和经验交流者以及主办单位理事会务费减半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/>
          <w:sz w:val="24"/>
          <w:szCs w:val="24"/>
        </w:rPr>
        <w:t>参加培训另收培训费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00元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</w:rPr>
        <w:t>培训及论坛均参加者对论坛会务费减半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；特邀代表持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主办单位</w:t>
      </w:r>
      <w:r>
        <w:rPr>
          <w:rFonts w:hint="eastAsia" w:asciiTheme="minorEastAsia" w:hAnsiTheme="minorEastAsia" w:eastAsiaTheme="minorEastAsia"/>
          <w:sz w:val="24"/>
          <w:szCs w:val="24"/>
        </w:rPr>
        <w:t>邀请函对论坛会务费减半；在读研究生持研究生证对论坛会务费减半。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带家属参会者不收会务费，食宿自理。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95" w:beforeLines="30" w:after="95" w:afterLines="30" w:line="37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为有效防控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新冠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疫情，本次会议限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100人，要求打过新冠疫苗者才能参会。开会地点是全国较大的旅居基地，住宿需提前预订。为准确掌握参会人员，</w:t>
      </w:r>
      <w:r>
        <w:rPr>
          <w:rFonts w:hint="eastAsia" w:asciiTheme="minorEastAsia" w:hAnsiTheme="minorEastAsia" w:eastAsiaTheme="minorEastAsia"/>
          <w:sz w:val="24"/>
          <w:szCs w:val="24"/>
        </w:rPr>
        <w:t>要求与会人员根据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本人情况</w:t>
      </w:r>
      <w:r>
        <w:rPr>
          <w:rFonts w:hint="eastAsia" w:asciiTheme="minorEastAsia" w:hAnsiTheme="minorEastAsia" w:eastAsiaTheme="minorEastAsia"/>
          <w:sz w:val="24"/>
          <w:szCs w:val="24"/>
        </w:rPr>
        <w:t>提前交纳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费用（食宿费现场交）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日之前汇至如下银行账号（户名：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山东省应用统计学会；开户银行：建行济南明湖支行；账号：37001616201050001649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，注明姓名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及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人数）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报到时开据发票，如需刷公务卡，届时将提前交的费用退回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交费后因故不能与会者请会前告知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退还费用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如因疫情原因不能开会，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所交费用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如数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退还。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若报名参会人数超限，将按汇款顺序安排参会（不安排参会者退还费用），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不提前交费者不保证有床位，且会务费不优惠。</w:t>
      </w:r>
      <w:r>
        <w:rPr>
          <w:rFonts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before="95" w:beforeLines="30" w:after="95" w:afterLines="30" w:line="370" w:lineRule="exact"/>
        <w:ind w:firstLine="480" w:firstLineChars="200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944880</wp:posOffset>
            </wp:positionV>
            <wp:extent cx="2660650" cy="1993900"/>
            <wp:effectExtent l="0" t="0" r="0" b="0"/>
            <wp:wrapNone/>
            <wp:docPr id="3" name="图片 2" descr="P113039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1130397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欢迎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从事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第三方评估研究和实际评估工作的相关单位、智库机构、社会组织和个人参加会议。参会者请从网站</w:t>
      </w:r>
      <w:r>
        <w:rPr>
          <w:rFonts w:ascii="宋体" w:hAnsi="宋体"/>
          <w:sz w:val="24"/>
          <w:szCs w:val="24"/>
        </w:rPr>
        <w:t>http://</w:t>
      </w:r>
      <w:r>
        <w:t xml:space="preserve"> </w:t>
      </w:r>
      <w:r>
        <w:rPr>
          <w:rFonts w:ascii="宋体" w:hAnsi="宋体"/>
          <w:sz w:val="24"/>
          <w:szCs w:val="24"/>
        </w:rPr>
        <w:t>shandongyytj.zhongkefu.org.cn</w:t>
      </w:r>
      <w:r>
        <w:rPr>
          <w:rFonts w:hint="eastAsia" w:ascii="宋体" w:hAnsi="宋体"/>
          <w:sz w:val="24"/>
          <w:szCs w:val="24"/>
        </w:rPr>
        <w:t>下载回执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填写后及早发至E-mail:sdsyytjxh@163.com；如有意向作报告、经验交流，请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提前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与朱孔来教授沟通并告知报告或发言题目、主要内容和创新点等，以便安排。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会务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联系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汪龙娇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；电话：0531-88926093,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17853928699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特殊事宜也可与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朱孔来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教授电话或微信联系（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13969012678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70" w:lineRule="exact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45085</wp:posOffset>
            </wp:positionV>
            <wp:extent cx="1492250" cy="1492250"/>
            <wp:effectExtent l="19050" t="0" r="0" b="0"/>
            <wp:wrapNone/>
            <wp:docPr id="1" name="图片 2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70" w:lineRule="exact"/>
        <w:ind w:right="6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70" w:lineRule="exact"/>
        <w:ind w:right="600" w:firstLine="840" w:firstLineChars="3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 xml:space="preserve">                    中国现场统计研究会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</w:rPr>
        <w:t>统计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综合评价研究分会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70" w:lineRule="exact"/>
        <w:ind w:right="600" w:firstLine="840" w:firstLineChars="3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 xml:space="preserve">                    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山东省应用统计学会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70" w:lineRule="exact"/>
        <w:ind w:right="600" w:firstLine="2760" w:firstLineChars="11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 xml:space="preserve">      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日</w:t>
      </w:r>
    </w:p>
    <w:p>
      <w:pPr>
        <w:widowControl/>
        <w:spacing w:line="360" w:lineRule="exact"/>
        <w:ind w:right="600" w:firstLine="5640" w:firstLineChars="23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line="360" w:lineRule="exact"/>
        <w:ind w:right="600" w:firstLine="5640" w:firstLineChars="23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</w:p>
    <w:p>
      <w:pPr>
        <w:widowControl/>
        <w:wordWrap w:val="0"/>
        <w:spacing w:line="500" w:lineRule="exact"/>
        <w:ind w:right="482" w:firstLine="1440" w:firstLineChars="600"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</w:t>
      </w:r>
      <w:r>
        <w:rPr>
          <w:rFonts w:hint="eastAsia" w:ascii="黑体" w:hAnsi="黑体" w:eastAsia="黑体"/>
          <w:sz w:val="24"/>
          <w:szCs w:val="24"/>
          <w:lang w:eastAsia="zh-CN"/>
        </w:rPr>
        <w:t>七</w:t>
      </w:r>
      <w:r>
        <w:rPr>
          <w:rFonts w:hint="eastAsia" w:ascii="黑体" w:hAnsi="黑体" w:eastAsia="黑体"/>
          <w:sz w:val="24"/>
          <w:szCs w:val="24"/>
        </w:rPr>
        <w:t>届（202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"http://www.cast.org.cn/n35081/n35488/n15760779.files/n15760814.doc" \t "_blank" </w:instrText>
      </w:r>
      <w:r>
        <w:rPr>
          <w:sz w:val="24"/>
          <w:szCs w:val="24"/>
        </w:rPr>
        <w:fldChar w:fldCharType="separate"/>
      </w:r>
      <w:r>
        <w:rPr>
          <w:rFonts w:hint="eastAsia" w:ascii="黑体" w:hAnsi="黑体" w:eastAsia="黑体"/>
          <w:sz w:val="24"/>
          <w:szCs w:val="24"/>
        </w:rPr>
        <w:t>第三方评估高层论坛暨第三方评估实践操作培训回执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tbl>
      <w:tblPr>
        <w:tblStyle w:val="7"/>
        <w:tblpPr w:leftFromText="180" w:rightFromText="180" w:vertAnchor="text" w:horzAnchor="page" w:tblpX="1378" w:tblpY="103"/>
        <w:tblOverlap w:val="never"/>
        <w:tblW w:w="94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40"/>
        <w:gridCol w:w="978"/>
        <w:gridCol w:w="1110"/>
        <w:gridCol w:w="2216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邮 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请在（）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内打√</w:t>
            </w:r>
          </w:p>
        </w:tc>
        <w:tc>
          <w:tcPr>
            <w:tcW w:w="81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只参加培训（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）、只参加论坛（  ）、培训和论坛均参加（   ）</w:t>
            </w:r>
          </w:p>
          <w:p>
            <w:pPr>
              <w:widowControl/>
              <w:spacing w:line="28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提交论文（  ），题目是：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；不提交论文（  ）</w:t>
            </w:r>
          </w:p>
          <w:p>
            <w:pPr>
              <w:widowControl/>
              <w:spacing w:line="28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本人是否同意参加“第三方评估专业委员会”，同意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  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，不同意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  ）</w:t>
            </w:r>
          </w:p>
          <w:p>
            <w:pPr>
              <w:widowControl/>
              <w:spacing w:line="28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所在单位是否同意参加“第三方评估协会”，同意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  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，不同意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  ）</w:t>
            </w:r>
          </w:p>
          <w:p>
            <w:pPr>
              <w:widowControl/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本人住单间（  ）；与他人合住（  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带占床位家属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人，不占床位孩子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人。</w:t>
            </w:r>
          </w:p>
        </w:tc>
      </w:tr>
    </w:tbl>
    <w:p>
      <w:pPr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该表填好后请发至邮箱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sdsyytjxh@163.com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54"/>
    <w:rsid w:val="00051ADE"/>
    <w:rsid w:val="00052DE5"/>
    <w:rsid w:val="000600B3"/>
    <w:rsid w:val="00064F03"/>
    <w:rsid w:val="00073464"/>
    <w:rsid w:val="00081F84"/>
    <w:rsid w:val="00085CCE"/>
    <w:rsid w:val="000875AB"/>
    <w:rsid w:val="00093DDB"/>
    <w:rsid w:val="00094737"/>
    <w:rsid w:val="000A2B61"/>
    <w:rsid w:val="000F37B8"/>
    <w:rsid w:val="000F51EF"/>
    <w:rsid w:val="00101D29"/>
    <w:rsid w:val="0010619C"/>
    <w:rsid w:val="00114617"/>
    <w:rsid w:val="00115418"/>
    <w:rsid w:val="001174EF"/>
    <w:rsid w:val="00132D81"/>
    <w:rsid w:val="00134905"/>
    <w:rsid w:val="001358F3"/>
    <w:rsid w:val="0015287F"/>
    <w:rsid w:val="00155B13"/>
    <w:rsid w:val="00165764"/>
    <w:rsid w:val="0017319C"/>
    <w:rsid w:val="00175BDF"/>
    <w:rsid w:val="00181AC7"/>
    <w:rsid w:val="00190C0E"/>
    <w:rsid w:val="001A05C3"/>
    <w:rsid w:val="001B080C"/>
    <w:rsid w:val="001C29CD"/>
    <w:rsid w:val="001D2097"/>
    <w:rsid w:val="001D28E8"/>
    <w:rsid w:val="001D5445"/>
    <w:rsid w:val="00203337"/>
    <w:rsid w:val="0021098C"/>
    <w:rsid w:val="002647AA"/>
    <w:rsid w:val="002A4855"/>
    <w:rsid w:val="002B1651"/>
    <w:rsid w:val="002B6E44"/>
    <w:rsid w:val="002C2334"/>
    <w:rsid w:val="00325F6F"/>
    <w:rsid w:val="00326F46"/>
    <w:rsid w:val="00331BD0"/>
    <w:rsid w:val="00364794"/>
    <w:rsid w:val="00366B12"/>
    <w:rsid w:val="003823FC"/>
    <w:rsid w:val="0038648D"/>
    <w:rsid w:val="003A3DA0"/>
    <w:rsid w:val="003A3DC7"/>
    <w:rsid w:val="0040730A"/>
    <w:rsid w:val="0041677B"/>
    <w:rsid w:val="004225CE"/>
    <w:rsid w:val="0043229A"/>
    <w:rsid w:val="00436FAA"/>
    <w:rsid w:val="00440981"/>
    <w:rsid w:val="004537DB"/>
    <w:rsid w:val="0048483A"/>
    <w:rsid w:val="004A5898"/>
    <w:rsid w:val="004B11AE"/>
    <w:rsid w:val="004F4D3A"/>
    <w:rsid w:val="004F54B9"/>
    <w:rsid w:val="005020B5"/>
    <w:rsid w:val="0051331C"/>
    <w:rsid w:val="0052568F"/>
    <w:rsid w:val="0056134F"/>
    <w:rsid w:val="00591DBC"/>
    <w:rsid w:val="005B716E"/>
    <w:rsid w:val="005F4F81"/>
    <w:rsid w:val="0060451B"/>
    <w:rsid w:val="006045F9"/>
    <w:rsid w:val="006058CE"/>
    <w:rsid w:val="00607519"/>
    <w:rsid w:val="00613435"/>
    <w:rsid w:val="006255C5"/>
    <w:rsid w:val="0063005F"/>
    <w:rsid w:val="00636F3C"/>
    <w:rsid w:val="0067418D"/>
    <w:rsid w:val="006742F9"/>
    <w:rsid w:val="006757A7"/>
    <w:rsid w:val="00681380"/>
    <w:rsid w:val="00684C61"/>
    <w:rsid w:val="00690CEB"/>
    <w:rsid w:val="006A27D8"/>
    <w:rsid w:val="006E60E6"/>
    <w:rsid w:val="006F7F92"/>
    <w:rsid w:val="00703C2C"/>
    <w:rsid w:val="00711EAC"/>
    <w:rsid w:val="00722605"/>
    <w:rsid w:val="00727472"/>
    <w:rsid w:val="00730385"/>
    <w:rsid w:val="00737E03"/>
    <w:rsid w:val="00777D70"/>
    <w:rsid w:val="00780D34"/>
    <w:rsid w:val="00784CA4"/>
    <w:rsid w:val="007A6B7A"/>
    <w:rsid w:val="007B76C8"/>
    <w:rsid w:val="007C3E13"/>
    <w:rsid w:val="007C66DB"/>
    <w:rsid w:val="007E431F"/>
    <w:rsid w:val="007E7538"/>
    <w:rsid w:val="008004FC"/>
    <w:rsid w:val="00810C40"/>
    <w:rsid w:val="00816A79"/>
    <w:rsid w:val="00817E88"/>
    <w:rsid w:val="0082406B"/>
    <w:rsid w:val="00831DF7"/>
    <w:rsid w:val="008465B9"/>
    <w:rsid w:val="008547D4"/>
    <w:rsid w:val="00854970"/>
    <w:rsid w:val="00856595"/>
    <w:rsid w:val="00883A8E"/>
    <w:rsid w:val="008E19E4"/>
    <w:rsid w:val="008F16AD"/>
    <w:rsid w:val="00901762"/>
    <w:rsid w:val="00901D52"/>
    <w:rsid w:val="00902A6D"/>
    <w:rsid w:val="00911C54"/>
    <w:rsid w:val="00914310"/>
    <w:rsid w:val="00915768"/>
    <w:rsid w:val="00916EEE"/>
    <w:rsid w:val="009658D8"/>
    <w:rsid w:val="009721B6"/>
    <w:rsid w:val="00981A18"/>
    <w:rsid w:val="00983FA7"/>
    <w:rsid w:val="009B5D25"/>
    <w:rsid w:val="009C7BB8"/>
    <w:rsid w:val="009D7C79"/>
    <w:rsid w:val="009F748F"/>
    <w:rsid w:val="00A0232D"/>
    <w:rsid w:val="00A17454"/>
    <w:rsid w:val="00A20619"/>
    <w:rsid w:val="00A2541F"/>
    <w:rsid w:val="00A26FED"/>
    <w:rsid w:val="00A32D33"/>
    <w:rsid w:val="00A84B23"/>
    <w:rsid w:val="00A85ECB"/>
    <w:rsid w:val="00A91500"/>
    <w:rsid w:val="00AA6E14"/>
    <w:rsid w:val="00AE07F2"/>
    <w:rsid w:val="00B06F0E"/>
    <w:rsid w:val="00B26586"/>
    <w:rsid w:val="00B31154"/>
    <w:rsid w:val="00B56FBA"/>
    <w:rsid w:val="00B57932"/>
    <w:rsid w:val="00BA1BC1"/>
    <w:rsid w:val="00BA2F6D"/>
    <w:rsid w:val="00BA4231"/>
    <w:rsid w:val="00BB2B4F"/>
    <w:rsid w:val="00BB4AF3"/>
    <w:rsid w:val="00BD3717"/>
    <w:rsid w:val="00BD6D0F"/>
    <w:rsid w:val="00BE204E"/>
    <w:rsid w:val="00BE64CF"/>
    <w:rsid w:val="00BE6BC1"/>
    <w:rsid w:val="00BF6E03"/>
    <w:rsid w:val="00C37FFB"/>
    <w:rsid w:val="00C4048B"/>
    <w:rsid w:val="00C479FB"/>
    <w:rsid w:val="00C50E07"/>
    <w:rsid w:val="00C640AC"/>
    <w:rsid w:val="00C70FB5"/>
    <w:rsid w:val="00C81C1D"/>
    <w:rsid w:val="00C86E7F"/>
    <w:rsid w:val="00C9166E"/>
    <w:rsid w:val="00C9244C"/>
    <w:rsid w:val="00C9438C"/>
    <w:rsid w:val="00C96FC8"/>
    <w:rsid w:val="00CA25B0"/>
    <w:rsid w:val="00CA2ABC"/>
    <w:rsid w:val="00CA358D"/>
    <w:rsid w:val="00CA7F7C"/>
    <w:rsid w:val="00CC4870"/>
    <w:rsid w:val="00CC7A84"/>
    <w:rsid w:val="00D00971"/>
    <w:rsid w:val="00D220B4"/>
    <w:rsid w:val="00D37A4E"/>
    <w:rsid w:val="00D43687"/>
    <w:rsid w:val="00D53B4C"/>
    <w:rsid w:val="00D7238D"/>
    <w:rsid w:val="00D74140"/>
    <w:rsid w:val="00D87EDD"/>
    <w:rsid w:val="00DC2E81"/>
    <w:rsid w:val="00DC3AE6"/>
    <w:rsid w:val="00DC4AAE"/>
    <w:rsid w:val="00DD48CD"/>
    <w:rsid w:val="00DE0AC1"/>
    <w:rsid w:val="00DE4764"/>
    <w:rsid w:val="00DE7C97"/>
    <w:rsid w:val="00DF4295"/>
    <w:rsid w:val="00E02E9B"/>
    <w:rsid w:val="00E31D43"/>
    <w:rsid w:val="00E34C9E"/>
    <w:rsid w:val="00E37171"/>
    <w:rsid w:val="00E52873"/>
    <w:rsid w:val="00E60F61"/>
    <w:rsid w:val="00E72546"/>
    <w:rsid w:val="00E824E3"/>
    <w:rsid w:val="00E87BCB"/>
    <w:rsid w:val="00EB099E"/>
    <w:rsid w:val="00EC158C"/>
    <w:rsid w:val="00EC2FCE"/>
    <w:rsid w:val="00EC3EC0"/>
    <w:rsid w:val="00EC6B87"/>
    <w:rsid w:val="00ED1022"/>
    <w:rsid w:val="00EE42C1"/>
    <w:rsid w:val="00EE45E3"/>
    <w:rsid w:val="00EE7404"/>
    <w:rsid w:val="00F128CF"/>
    <w:rsid w:val="00F30E87"/>
    <w:rsid w:val="00F43C9D"/>
    <w:rsid w:val="00F8332E"/>
    <w:rsid w:val="00F9630D"/>
    <w:rsid w:val="00FA23EF"/>
    <w:rsid w:val="00FA322E"/>
    <w:rsid w:val="00FB5489"/>
    <w:rsid w:val="00FC30C5"/>
    <w:rsid w:val="00FC7048"/>
    <w:rsid w:val="00FD2D2E"/>
    <w:rsid w:val="00FE4F13"/>
    <w:rsid w:val="00FE6D59"/>
    <w:rsid w:val="07B53615"/>
    <w:rsid w:val="12663DA6"/>
    <w:rsid w:val="1C7617B8"/>
    <w:rsid w:val="26262A46"/>
    <w:rsid w:val="3EAC1A6A"/>
    <w:rsid w:val="72323E3C"/>
    <w:rsid w:val="793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4D82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默认段落字体 Para Char"/>
    <w:basedOn w:val="1"/>
    <w:semiHidden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12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  <w:rPr>
      <w:kern w:val="2"/>
      <w:sz w:val="21"/>
    </w:rPr>
  </w:style>
  <w:style w:type="paragraph" w:customStyle="1" w:styleId="16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BCAE2-C280-4EE4-A63D-33F7073B4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366</Words>
  <Characters>2088</Characters>
  <Lines>17</Lines>
  <Paragraphs>4</Paragraphs>
  <TotalTime>123</TotalTime>
  <ScaleCrop>false</ScaleCrop>
  <LinksUpToDate>false</LinksUpToDate>
  <CharactersWithSpaces>2450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2020-07-15T04:25:00Z</dcterms:created>
  <dc:creator>zhu</dc:creator>
  <cp:lastModifiedBy>Administrator</cp:lastModifiedBy>
  <cp:lastPrinted>2021-08-02T04:25:02Z</cp:lastPrinted>
  <dcterms:modified xsi:type="dcterms:W3CDTF">2021-08-02T06:25:53Z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5C25D80A9D864DA3B25F213D0EC74CA5</vt:lpwstr>
  </property>
</Properties>
</file>